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4" w:rsidRPr="00E12C14" w:rsidRDefault="00E12C14" w:rsidP="00E12C14">
      <w:pPr>
        <w:spacing w:before="240" w:after="240" w:line="240" w:lineRule="auto"/>
        <w:outlineLvl w:val="1"/>
        <w:rPr>
          <w:rFonts w:ascii="Roboto Condensed" w:eastAsia="Times New Roman" w:hAnsi="Roboto Condensed" w:cs="Times New Roman"/>
          <w:b/>
          <w:bCs/>
          <w:caps/>
          <w:color w:val="B30100"/>
          <w:kern w:val="36"/>
          <w:sz w:val="19"/>
          <w:szCs w:val="19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aps/>
          <w:color w:val="B30100"/>
          <w:kern w:val="36"/>
          <w:sz w:val="19"/>
          <w:szCs w:val="19"/>
          <w:lang w:eastAsia="cs-CZ"/>
        </w:rPr>
        <w:t>Mimosoudní řešení spotřebitelských sporů (ADR)</w:t>
      </w:r>
    </w:p>
    <w:p w:rsidR="00E12C14" w:rsidRPr="00E12C14" w:rsidRDefault="00E12C14" w:rsidP="00E12C14">
      <w:pPr>
        <w:spacing w:before="319" w:after="319" w:line="240" w:lineRule="auto"/>
        <w:outlineLvl w:val="3"/>
        <w:rPr>
          <w:rFonts w:ascii="Roboto Condensed" w:eastAsia="Times New Roman" w:hAnsi="Roboto Condensed" w:cs="Times New Roman"/>
          <w:b/>
          <w:bCs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szCs w:val="17"/>
          <w:lang w:eastAsia="cs-CZ"/>
        </w:rPr>
        <w:t>Mimosoudní řešení spotřebitelských sporů (ADR)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 xml:space="preserve">Vládou schválená novela zákona o ochraně spotřebitele přináší spotřebitelům novou variantu řešení jejich sporů, která bude rychlejší a finančně méně náročná oproti stávajícím způsobům (zejména soudnímu řízení). Jedná se o ucelený systém mimosoudního řešení spotřebitelských sporů, do kterého bude zapojena Česká obchodní inspekce jako obecný subjekt mimosoudního řešení sporů, a další specializované orgány, které již v současnosti řeší spory spotřebitelů mimosoudní cestou – Finanční arbitr, Český telekomunikační úřad a Energetický regulační úřad.  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 xml:space="preserve">ČOI - Formulář návrhu na zahájení řízení o mimosoudním řešení spotřebitelského sporu (ADR)  </w:t>
      </w:r>
      <w:hyperlink r:id="rId4" w:history="1">
        <w:r w:rsidRPr="00E12C14">
          <w:rPr>
            <w:rFonts w:ascii="Roboto Condensed" w:eastAsia="Times New Roman" w:hAnsi="Roboto Condensed" w:cs="Times New Roman"/>
            <w:b/>
            <w:bCs/>
            <w:color w:val="0000FF"/>
            <w:sz w:val="17"/>
            <w:lang w:eastAsia="cs-CZ"/>
          </w:rPr>
          <w:t>ZDE</w:t>
        </w:r>
      </w:hyperlink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>Kontaktní údaje: 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>Česká obchodní inspekce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br/>
      </w:r>
      <w:r w:rsidRPr="00E12C14">
        <w:rPr>
          <w:rFonts w:ascii="Roboto Condensed" w:eastAsia="Times New Roman" w:hAnsi="Roboto Condensed" w:cs="Times New Roman"/>
          <w:i/>
          <w:iCs/>
          <w:color w:val="3F505E"/>
          <w:sz w:val="17"/>
          <w:lang w:eastAsia="cs-CZ"/>
        </w:rPr>
        <w:t>Ústřední inspektorát - oddělení ADR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br/>
        <w:t>Štěpánská 15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br/>
        <w:t>120 00 Praha 2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 xml:space="preserve">Email: </w:t>
      </w:r>
      <w:hyperlink r:id="rId5" w:tooltip="adr@coi.cz" w:history="1">
        <w:r w:rsidRPr="00E12C14">
          <w:rPr>
            <w:rFonts w:ascii="Roboto Condensed" w:eastAsia="Times New Roman" w:hAnsi="Roboto Condensed" w:cs="Times New Roman"/>
            <w:color w:val="0000FF"/>
            <w:sz w:val="17"/>
            <w:lang w:eastAsia="cs-CZ"/>
          </w:rPr>
          <w:t>adr@coi.cz</w:t>
        </w:r>
      </w:hyperlink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br/>
        <w:t xml:space="preserve">Web: </w:t>
      </w:r>
      <w:hyperlink r:id="rId6" w:tgtFrame="_blank" w:history="1">
        <w:r w:rsidRPr="00E12C14">
          <w:rPr>
            <w:rFonts w:ascii="Roboto Condensed" w:eastAsia="Times New Roman" w:hAnsi="Roboto Condensed" w:cs="Times New Roman"/>
            <w:color w:val="0000FF"/>
            <w:sz w:val="17"/>
            <w:lang w:eastAsia="cs-CZ"/>
          </w:rPr>
          <w:t>adr.coi.cz</w:t>
        </w:r>
      </w:hyperlink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 xml:space="preserve">ČOI - Pravidla pro postup při Mimosoudním řešení spotřebitelských sporů (ADR) - 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 xml:space="preserve">ke stažení </w:t>
      </w:r>
      <w:hyperlink r:id="rId7" w:tooltip="ČOI - Pravidla pro postup při mimosoudním řešení sporů (ADR)" w:history="1">
        <w:r w:rsidRPr="00E12C14">
          <w:rPr>
            <w:rFonts w:ascii="Roboto Condensed" w:eastAsia="Times New Roman" w:hAnsi="Roboto Condensed" w:cs="Times New Roman"/>
            <w:b/>
            <w:bCs/>
            <w:color w:val="0000FF"/>
            <w:sz w:val="17"/>
            <w:lang w:eastAsia="cs-CZ"/>
          </w:rPr>
          <w:t>ZDE</w:t>
        </w:r>
      </w:hyperlink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 xml:space="preserve"> (ve formátu PDF) 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i/>
          <w:iCs/>
          <w:color w:val="3F505E"/>
          <w:sz w:val="17"/>
          <w:u w:val="single"/>
          <w:lang w:eastAsia="cs-CZ"/>
        </w:rPr>
        <w:t>PROČ mimosoudní řešení sporů?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Mimosoudní řešení spotřebitelských sporů má návaznost na směrnici Evropského parlamentu a Rady o alternativním řešení spotřebitelských sporů a na nařízení Evropského parlamentu a Rady o online řešení spotřebitelských sporů. Podle směrnice by všechny členské státy Evropské unie měly umožnit a zajistit, aby veškeré spory mezi spotřebitelem a obchodníkem vzniklé v souvislosti s prodejem zboží nebo poskytováním služeb mohly být předloženy subjektu mimosoudního řešení spotřebitelských sporů, a to rovněž prostřednictvím on—line prostředků.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Spotřebitelům na českém trhu by navrhovaná právní úprava měla umožnit snadnější způsob řešení sporů s obchodníky.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Z pohledu celoevropského spotřebitelského trhu představuje navrhovaná právní úprava sladění podmínek ochrany spotřebitele s podmínkami platnými v ostatních členských státech EU a tím usnadnění přeshraničního obchodu, jakož i orientaci spotřebitele v jeho právech (zejména v případě přeshraničních obchodů, a to především v případě obchodů realizovaných v jiném členském státě EU).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i/>
          <w:iCs/>
          <w:color w:val="3F505E"/>
          <w:sz w:val="17"/>
          <w:u w:val="single"/>
          <w:lang w:eastAsia="cs-CZ"/>
        </w:rPr>
        <w:t xml:space="preserve">CO je mimosoudní řešení sporů? 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Mimosoudní řešení sporů (s anglickou zkratkou ADR - Alternative Dispute Resolution) je systém, který při řešení sporů umožňuje alternativní postup, tedy jiný postup než klasickou soudní cestou. ADR je efektivním nástrojem pro spotřebitele, obchodníky a v neposlední řadě pro státy, kterým umožňuje „odlehčit“ soudům od případů, které zpravidla nejsou složité po právní stránce a rozhodnutí o nich soudní cestou je neúměrně nákladné časově i finančně. Spotřebitelům i obchodníkům má ADR přinést především rychlost, jednoduchost a nízké náklady.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V tomto systému jsou řešeny spory, které vznikají ze smluv, kde na jedné straně stojí podnikatel a na druhé straně spotřebitel. Mimosoudní řešení spotřebitelských sporů je tedy cesta, jak spotřebitelské spory úspěšně řešit s nižšími finančními náklady i časovou  náročností na celé řízení. Spotřebitel má právo na mimosoudní řešení sporu z kupní smlouvy nebo ze smlouvy o poskytování služeb. Klasickým spotřebitelským sporem jsou například spory o uznání reklamace vad zboží koupeného v obchodě.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Vládou schválená novela zákona o ochraně spotřebitele stanoví prodávajícímu povinnost informovat spotřebitele jasným, srozumitelným a snadno dostupným způsobem o subjektu mimosoudního řešení spotřebitelských sporů a poskytnout odkaz na webovou stránku tohoto subjektu. Pokud prodávající provozuje internetové stránky, uvede tyto informace i na těchto internetových stránkách.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Návrh na řešení sporu může podat jen spotřebitel (pokud se nepodařilo stížnost vyřešit s prodávajícím přímo). Návrh může podat nejpozději do 1 roku ode dne, kdy kontaktoval druhou stranu za účelem řešení sporu. Řízení by mělo být bezplatné a své náklady by si měly uhradit strany samy. Prodávající bude mít povinnost se k návrhu do 15 dnů vyjádřit a oznámit, jestli se řízení zúčastní. Návrh zákona upravuje např. náležitosti návrhu na zahájení mimosoudního řešení, otázky doručování, způsoby ukončení atd. Lhůta pro ukončení mimosoudního řešení by u většiny případů neměla překročit 90 dní.  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i/>
          <w:iCs/>
          <w:color w:val="3F505E"/>
          <w:sz w:val="17"/>
          <w:u w:val="single"/>
          <w:lang w:eastAsia="cs-CZ"/>
        </w:rPr>
        <w:t>Současné formy mimosoudního řešení sporů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lastRenderedPageBreak/>
        <w:t>V současné době jsou v ČR využívané jako formy mimosoudního řešení sporů mediace a rozhodčí řízení. Vždy se jedná o urovnání sporů mezi spotřebitelem a obchodníkem, při němž subjekt mimosoudního řešení spotřebitelských sporů stranám navrhuje nebo stanoví řešení nebo strany přivede ke společnému jednání s cílem usnadnit smírné řešení sporu.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Rozhodčí řízení upravuje zákon č. 216/1994 Sb., o rozhodčím řízení a o výkonu rozhodčích nálezů, mediaci zákon č. 202/2012 Sb., o mediaci.  Konciliace úzce souvisí s mediací, jde však o formalizovanější proces než je mediace, kdy se konciliátor snaží právními radami dosáhnout smíru za současné přítomnosti stran sporu. Na základě hodnocení skutkové a právní okolnosti věci konciliátor vypracuje nezávislý a nezávazný posudek, který stranám předloží zejména k pochopení stavu věci. Významným faktorem pro úspěch konciliace je především neformálnost, rychlost a finanční nenáročnost.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Systém mimosoudního řešení sporů je na ČOI spuštěn od 1. 2. 2016.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 xml:space="preserve">V mimosoudním řešení sporů před Českou obchodní inspekcí by mělo jít právě o </w:t>
      </w: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>konciliaci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, během níž pracovník České obchodní inspekce povede strany k urovnání sporu jako nezávislý prostředník, který jim bude případně nápomocen radou a názorem, nebude však ve sporu rozhodovat. Výsledkem řízení bude uzavření soukromoprávní dohody stran.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----------------------------------------------------------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 xml:space="preserve">Specializované orgány, na které je možné se také obracet (řeší spory spotřebitelů mimosoudní cestou, v níže uvedených oblastech): 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>Finanční arbitr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 xml:space="preserve"> – pro finanční trh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hyperlink r:id="rId8" w:history="1">
        <w:r w:rsidRPr="00E12C14">
          <w:rPr>
            <w:rFonts w:ascii="Roboto Condensed" w:eastAsia="Times New Roman" w:hAnsi="Roboto Condensed" w:cs="Times New Roman"/>
            <w:color w:val="0000FF"/>
            <w:sz w:val="17"/>
            <w:lang w:eastAsia="cs-CZ"/>
          </w:rPr>
          <w:t>http://www.finarbitr.cz/cs/reseni-sporu/pusobnost-financniho-arbitra.html</w:t>
        </w:r>
      </w:hyperlink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>Český telekomunikační úřad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 xml:space="preserve"> (ČTÚ) – pro telekomunikace</w:t>
      </w:r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hyperlink r:id="rId9" w:history="1">
        <w:r w:rsidRPr="00E12C14">
          <w:rPr>
            <w:rFonts w:ascii="Roboto Condensed" w:eastAsia="Times New Roman" w:hAnsi="Roboto Condensed" w:cs="Times New Roman"/>
            <w:color w:val="0000FF"/>
            <w:sz w:val="17"/>
            <w:lang w:eastAsia="cs-CZ"/>
          </w:rPr>
          <w:t>http://www.ctu.cz/pusobnost-ctu/ochrana-spotrebitele.html</w:t>
        </w:r>
      </w:hyperlink>
    </w:p>
    <w:p w:rsidR="00E12C14" w:rsidRPr="00E12C14" w:rsidRDefault="00E12C14" w:rsidP="00E12C14">
      <w:pPr>
        <w:spacing w:before="240" w:after="240" w:line="240" w:lineRule="auto"/>
        <w:jc w:val="both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r w:rsidRPr="00E12C14">
        <w:rPr>
          <w:rFonts w:ascii="Roboto Condensed" w:eastAsia="Times New Roman" w:hAnsi="Roboto Condensed" w:cs="Times New Roman"/>
          <w:b/>
          <w:bCs/>
          <w:color w:val="3F505E"/>
          <w:sz w:val="17"/>
          <w:lang w:eastAsia="cs-CZ"/>
        </w:rPr>
        <w:t>Energetický regulační úřad</w:t>
      </w:r>
      <w:r w:rsidRPr="00E12C14"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  <w:t>  (ERÚ) - pro energetiku</w:t>
      </w:r>
    </w:p>
    <w:p w:rsidR="00E12C14" w:rsidRPr="00E12C14" w:rsidRDefault="00E12C14" w:rsidP="00E12C14">
      <w:pPr>
        <w:spacing w:before="240" w:after="240" w:line="240" w:lineRule="auto"/>
        <w:rPr>
          <w:rFonts w:ascii="Roboto Condensed" w:eastAsia="Times New Roman" w:hAnsi="Roboto Condensed" w:cs="Times New Roman"/>
          <w:color w:val="3F505E"/>
          <w:sz w:val="17"/>
          <w:szCs w:val="17"/>
          <w:lang w:eastAsia="cs-CZ"/>
        </w:rPr>
      </w:pPr>
      <w:hyperlink r:id="rId10" w:history="1">
        <w:r w:rsidRPr="00E12C14">
          <w:rPr>
            <w:rFonts w:ascii="Roboto Condensed" w:eastAsia="Times New Roman" w:hAnsi="Roboto Condensed" w:cs="Times New Roman"/>
            <w:color w:val="0000FF"/>
            <w:sz w:val="17"/>
            <w:lang w:eastAsia="cs-CZ"/>
          </w:rPr>
          <w:t>http://www.eru.cz/cs/</w:t>
        </w:r>
      </w:hyperlink>
    </w:p>
    <w:p w:rsidR="00EE0083" w:rsidRDefault="00EE0083"/>
    <w:sectPr w:rsidR="00EE0083" w:rsidSect="00EE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C14"/>
    <w:rsid w:val="00000122"/>
    <w:rsid w:val="000111F4"/>
    <w:rsid w:val="0001129C"/>
    <w:rsid w:val="000122FE"/>
    <w:rsid w:val="00015A66"/>
    <w:rsid w:val="00021224"/>
    <w:rsid w:val="00022BF0"/>
    <w:rsid w:val="00024C28"/>
    <w:rsid w:val="00024EF9"/>
    <w:rsid w:val="00027D51"/>
    <w:rsid w:val="00035F3F"/>
    <w:rsid w:val="000366C1"/>
    <w:rsid w:val="000444ED"/>
    <w:rsid w:val="00054E1C"/>
    <w:rsid w:val="000559AA"/>
    <w:rsid w:val="00067DCC"/>
    <w:rsid w:val="0007312E"/>
    <w:rsid w:val="0008080F"/>
    <w:rsid w:val="00080CFE"/>
    <w:rsid w:val="00083077"/>
    <w:rsid w:val="000853A6"/>
    <w:rsid w:val="000874DF"/>
    <w:rsid w:val="00087E90"/>
    <w:rsid w:val="00092E00"/>
    <w:rsid w:val="00096F91"/>
    <w:rsid w:val="000A67F8"/>
    <w:rsid w:val="000B6AC0"/>
    <w:rsid w:val="000C1415"/>
    <w:rsid w:val="000D317C"/>
    <w:rsid w:val="000D6424"/>
    <w:rsid w:val="000E39FA"/>
    <w:rsid w:val="000E7AD5"/>
    <w:rsid w:val="000F04BA"/>
    <w:rsid w:val="000F621E"/>
    <w:rsid w:val="001020C9"/>
    <w:rsid w:val="001021ED"/>
    <w:rsid w:val="001119EF"/>
    <w:rsid w:val="0011661B"/>
    <w:rsid w:val="00121056"/>
    <w:rsid w:val="0013000E"/>
    <w:rsid w:val="0013097C"/>
    <w:rsid w:val="0013198D"/>
    <w:rsid w:val="00132876"/>
    <w:rsid w:val="00134BF5"/>
    <w:rsid w:val="00146C38"/>
    <w:rsid w:val="0014777F"/>
    <w:rsid w:val="00151EFD"/>
    <w:rsid w:val="001555DF"/>
    <w:rsid w:val="001612CD"/>
    <w:rsid w:val="00170457"/>
    <w:rsid w:val="001760FC"/>
    <w:rsid w:val="00186888"/>
    <w:rsid w:val="00187F29"/>
    <w:rsid w:val="001926BE"/>
    <w:rsid w:val="001A1420"/>
    <w:rsid w:val="001A316D"/>
    <w:rsid w:val="001A5016"/>
    <w:rsid w:val="001B1654"/>
    <w:rsid w:val="001B556E"/>
    <w:rsid w:val="001C5A55"/>
    <w:rsid w:val="001C5E95"/>
    <w:rsid w:val="001D03B8"/>
    <w:rsid w:val="001E4224"/>
    <w:rsid w:val="001F097C"/>
    <w:rsid w:val="001F31B3"/>
    <w:rsid w:val="001F3B3B"/>
    <w:rsid w:val="001F49AE"/>
    <w:rsid w:val="00200E3D"/>
    <w:rsid w:val="00203F85"/>
    <w:rsid w:val="00212413"/>
    <w:rsid w:val="00212B47"/>
    <w:rsid w:val="0022052C"/>
    <w:rsid w:val="00226BC7"/>
    <w:rsid w:val="00230297"/>
    <w:rsid w:val="00230C1C"/>
    <w:rsid w:val="00233E4E"/>
    <w:rsid w:val="00237F22"/>
    <w:rsid w:val="0025157E"/>
    <w:rsid w:val="00253F06"/>
    <w:rsid w:val="00260BDA"/>
    <w:rsid w:val="0026547F"/>
    <w:rsid w:val="0026693B"/>
    <w:rsid w:val="00270457"/>
    <w:rsid w:val="00282D5D"/>
    <w:rsid w:val="0029163E"/>
    <w:rsid w:val="00293E59"/>
    <w:rsid w:val="002950FE"/>
    <w:rsid w:val="002B01FB"/>
    <w:rsid w:val="002C0CAE"/>
    <w:rsid w:val="002C0E8F"/>
    <w:rsid w:val="002C506D"/>
    <w:rsid w:val="002C636E"/>
    <w:rsid w:val="002D0ACB"/>
    <w:rsid w:val="002D11D7"/>
    <w:rsid w:val="002E0F2A"/>
    <w:rsid w:val="002E2646"/>
    <w:rsid w:val="002E3685"/>
    <w:rsid w:val="002E42EA"/>
    <w:rsid w:val="002E4F2A"/>
    <w:rsid w:val="002F05D5"/>
    <w:rsid w:val="002F1033"/>
    <w:rsid w:val="002F6F4C"/>
    <w:rsid w:val="00306657"/>
    <w:rsid w:val="00311404"/>
    <w:rsid w:val="00314AE1"/>
    <w:rsid w:val="00320780"/>
    <w:rsid w:val="00321F00"/>
    <w:rsid w:val="00325412"/>
    <w:rsid w:val="00332A58"/>
    <w:rsid w:val="003374A3"/>
    <w:rsid w:val="00337820"/>
    <w:rsid w:val="00337DBB"/>
    <w:rsid w:val="00337F4C"/>
    <w:rsid w:val="00363F4D"/>
    <w:rsid w:val="00364A3D"/>
    <w:rsid w:val="003651FD"/>
    <w:rsid w:val="00366B8B"/>
    <w:rsid w:val="00366EEA"/>
    <w:rsid w:val="00375A9F"/>
    <w:rsid w:val="00375F47"/>
    <w:rsid w:val="00386FB1"/>
    <w:rsid w:val="0039134F"/>
    <w:rsid w:val="00392E33"/>
    <w:rsid w:val="00393813"/>
    <w:rsid w:val="00397069"/>
    <w:rsid w:val="003A39C3"/>
    <w:rsid w:val="003A461A"/>
    <w:rsid w:val="003A4755"/>
    <w:rsid w:val="003A7F96"/>
    <w:rsid w:val="003B7074"/>
    <w:rsid w:val="003B7819"/>
    <w:rsid w:val="003C0DDE"/>
    <w:rsid w:val="003C2CD1"/>
    <w:rsid w:val="003C738D"/>
    <w:rsid w:val="003D2AC7"/>
    <w:rsid w:val="003D3532"/>
    <w:rsid w:val="003E3BB7"/>
    <w:rsid w:val="003E508D"/>
    <w:rsid w:val="003E55E8"/>
    <w:rsid w:val="003F009B"/>
    <w:rsid w:val="003F6003"/>
    <w:rsid w:val="0040105B"/>
    <w:rsid w:val="00401BA0"/>
    <w:rsid w:val="00404437"/>
    <w:rsid w:val="00405B9C"/>
    <w:rsid w:val="00411E9E"/>
    <w:rsid w:val="00415942"/>
    <w:rsid w:val="004223E1"/>
    <w:rsid w:val="004245EB"/>
    <w:rsid w:val="00425F4B"/>
    <w:rsid w:val="00427351"/>
    <w:rsid w:val="0043205A"/>
    <w:rsid w:val="00432BB7"/>
    <w:rsid w:val="00433AB5"/>
    <w:rsid w:val="00434584"/>
    <w:rsid w:val="00440289"/>
    <w:rsid w:val="004433E7"/>
    <w:rsid w:val="0045053D"/>
    <w:rsid w:val="00451F30"/>
    <w:rsid w:val="0045639E"/>
    <w:rsid w:val="004563C1"/>
    <w:rsid w:val="004612F3"/>
    <w:rsid w:val="00461864"/>
    <w:rsid w:val="00464EE7"/>
    <w:rsid w:val="00466438"/>
    <w:rsid w:val="00481D5A"/>
    <w:rsid w:val="0048278C"/>
    <w:rsid w:val="004A1920"/>
    <w:rsid w:val="004A2A12"/>
    <w:rsid w:val="004A2FD9"/>
    <w:rsid w:val="004B15AB"/>
    <w:rsid w:val="004B4799"/>
    <w:rsid w:val="004B5703"/>
    <w:rsid w:val="004B7596"/>
    <w:rsid w:val="004C18AE"/>
    <w:rsid w:val="004C3F09"/>
    <w:rsid w:val="004C693F"/>
    <w:rsid w:val="004D25B7"/>
    <w:rsid w:val="004D2DF3"/>
    <w:rsid w:val="004E3E93"/>
    <w:rsid w:val="004E45FF"/>
    <w:rsid w:val="004E6B15"/>
    <w:rsid w:val="00500729"/>
    <w:rsid w:val="00502D18"/>
    <w:rsid w:val="00505AC2"/>
    <w:rsid w:val="00505DEE"/>
    <w:rsid w:val="00512798"/>
    <w:rsid w:val="0051418A"/>
    <w:rsid w:val="00517393"/>
    <w:rsid w:val="0052316C"/>
    <w:rsid w:val="00523F1D"/>
    <w:rsid w:val="0053265B"/>
    <w:rsid w:val="00532BD8"/>
    <w:rsid w:val="005374EA"/>
    <w:rsid w:val="005472F8"/>
    <w:rsid w:val="00550966"/>
    <w:rsid w:val="00556156"/>
    <w:rsid w:val="005572BA"/>
    <w:rsid w:val="00560EA3"/>
    <w:rsid w:val="00573287"/>
    <w:rsid w:val="00574065"/>
    <w:rsid w:val="005762A2"/>
    <w:rsid w:val="00582126"/>
    <w:rsid w:val="005843B0"/>
    <w:rsid w:val="005A176A"/>
    <w:rsid w:val="005A1C52"/>
    <w:rsid w:val="005A24F4"/>
    <w:rsid w:val="005A3771"/>
    <w:rsid w:val="005B33EE"/>
    <w:rsid w:val="005B3829"/>
    <w:rsid w:val="005B3C49"/>
    <w:rsid w:val="005C0461"/>
    <w:rsid w:val="005C1FCF"/>
    <w:rsid w:val="005E0155"/>
    <w:rsid w:val="005E613A"/>
    <w:rsid w:val="005F26C5"/>
    <w:rsid w:val="005F3C51"/>
    <w:rsid w:val="005F3EA9"/>
    <w:rsid w:val="005F46B5"/>
    <w:rsid w:val="00600F1A"/>
    <w:rsid w:val="00604724"/>
    <w:rsid w:val="00606735"/>
    <w:rsid w:val="006075CF"/>
    <w:rsid w:val="00607EA5"/>
    <w:rsid w:val="00613F5E"/>
    <w:rsid w:val="00615959"/>
    <w:rsid w:val="00631885"/>
    <w:rsid w:val="00635DA2"/>
    <w:rsid w:val="00637FF5"/>
    <w:rsid w:val="00645809"/>
    <w:rsid w:val="00647BA4"/>
    <w:rsid w:val="00650486"/>
    <w:rsid w:val="00651FD8"/>
    <w:rsid w:val="006601E9"/>
    <w:rsid w:val="00664495"/>
    <w:rsid w:val="0066512E"/>
    <w:rsid w:val="006662D2"/>
    <w:rsid w:val="00666B4A"/>
    <w:rsid w:val="00667F04"/>
    <w:rsid w:val="00670C6C"/>
    <w:rsid w:val="00683B7E"/>
    <w:rsid w:val="00690479"/>
    <w:rsid w:val="0069056A"/>
    <w:rsid w:val="006A0ECE"/>
    <w:rsid w:val="006A3251"/>
    <w:rsid w:val="006A53A8"/>
    <w:rsid w:val="006B1280"/>
    <w:rsid w:val="006C0DBE"/>
    <w:rsid w:val="006C278D"/>
    <w:rsid w:val="006C574E"/>
    <w:rsid w:val="006E07D5"/>
    <w:rsid w:val="006E23B9"/>
    <w:rsid w:val="006E424C"/>
    <w:rsid w:val="006E49AF"/>
    <w:rsid w:val="006E5175"/>
    <w:rsid w:val="006E6499"/>
    <w:rsid w:val="006F1F77"/>
    <w:rsid w:val="006F2B52"/>
    <w:rsid w:val="006F3B63"/>
    <w:rsid w:val="006F643C"/>
    <w:rsid w:val="006F67D1"/>
    <w:rsid w:val="00701677"/>
    <w:rsid w:val="00703519"/>
    <w:rsid w:val="0070496E"/>
    <w:rsid w:val="00706D7A"/>
    <w:rsid w:val="0071313E"/>
    <w:rsid w:val="00716E37"/>
    <w:rsid w:val="007271FE"/>
    <w:rsid w:val="00727E60"/>
    <w:rsid w:val="00727EC0"/>
    <w:rsid w:val="00743E9F"/>
    <w:rsid w:val="007476E3"/>
    <w:rsid w:val="00751E1D"/>
    <w:rsid w:val="0075276B"/>
    <w:rsid w:val="00753207"/>
    <w:rsid w:val="00760069"/>
    <w:rsid w:val="00764009"/>
    <w:rsid w:val="00767189"/>
    <w:rsid w:val="00773CFA"/>
    <w:rsid w:val="00781412"/>
    <w:rsid w:val="00785138"/>
    <w:rsid w:val="007907CC"/>
    <w:rsid w:val="00790DD7"/>
    <w:rsid w:val="00791BE9"/>
    <w:rsid w:val="00793F0F"/>
    <w:rsid w:val="007954D2"/>
    <w:rsid w:val="00796404"/>
    <w:rsid w:val="007B0300"/>
    <w:rsid w:val="007C2467"/>
    <w:rsid w:val="007D7222"/>
    <w:rsid w:val="007D7CD9"/>
    <w:rsid w:val="007E1121"/>
    <w:rsid w:val="007F02FA"/>
    <w:rsid w:val="007F29D1"/>
    <w:rsid w:val="007F2C40"/>
    <w:rsid w:val="007F63F1"/>
    <w:rsid w:val="00810A72"/>
    <w:rsid w:val="00810ADB"/>
    <w:rsid w:val="0081417B"/>
    <w:rsid w:val="008235A8"/>
    <w:rsid w:val="00832C58"/>
    <w:rsid w:val="00833119"/>
    <w:rsid w:val="008466B5"/>
    <w:rsid w:val="00847425"/>
    <w:rsid w:val="00851DB5"/>
    <w:rsid w:val="008532E7"/>
    <w:rsid w:val="00855E15"/>
    <w:rsid w:val="00857BB0"/>
    <w:rsid w:val="008606B8"/>
    <w:rsid w:val="00862B0B"/>
    <w:rsid w:val="0086415D"/>
    <w:rsid w:val="00864407"/>
    <w:rsid w:val="00866939"/>
    <w:rsid w:val="00881E7A"/>
    <w:rsid w:val="0089407E"/>
    <w:rsid w:val="008959F2"/>
    <w:rsid w:val="00897249"/>
    <w:rsid w:val="008A33FC"/>
    <w:rsid w:val="008A502D"/>
    <w:rsid w:val="008A5632"/>
    <w:rsid w:val="008B41DF"/>
    <w:rsid w:val="008B5484"/>
    <w:rsid w:val="008D2285"/>
    <w:rsid w:val="008D71A6"/>
    <w:rsid w:val="008E3863"/>
    <w:rsid w:val="008F1057"/>
    <w:rsid w:val="008F38CD"/>
    <w:rsid w:val="008F46E2"/>
    <w:rsid w:val="008F56DB"/>
    <w:rsid w:val="008F5E58"/>
    <w:rsid w:val="009120E4"/>
    <w:rsid w:val="00913094"/>
    <w:rsid w:val="00913C6D"/>
    <w:rsid w:val="00913C84"/>
    <w:rsid w:val="0091678F"/>
    <w:rsid w:val="009172E8"/>
    <w:rsid w:val="00923491"/>
    <w:rsid w:val="009272D6"/>
    <w:rsid w:val="00934A34"/>
    <w:rsid w:val="00935965"/>
    <w:rsid w:val="00940622"/>
    <w:rsid w:val="00943C44"/>
    <w:rsid w:val="0094413E"/>
    <w:rsid w:val="00945366"/>
    <w:rsid w:val="009503AB"/>
    <w:rsid w:val="009508CA"/>
    <w:rsid w:val="009532AF"/>
    <w:rsid w:val="009547C3"/>
    <w:rsid w:val="009553AE"/>
    <w:rsid w:val="00960DD5"/>
    <w:rsid w:val="009650BE"/>
    <w:rsid w:val="00967429"/>
    <w:rsid w:val="0097170C"/>
    <w:rsid w:val="009756A1"/>
    <w:rsid w:val="00982927"/>
    <w:rsid w:val="00987085"/>
    <w:rsid w:val="009922E3"/>
    <w:rsid w:val="009955B7"/>
    <w:rsid w:val="00996024"/>
    <w:rsid w:val="00996B42"/>
    <w:rsid w:val="009A3320"/>
    <w:rsid w:val="009B06B9"/>
    <w:rsid w:val="009B642B"/>
    <w:rsid w:val="009C37F2"/>
    <w:rsid w:val="009D2685"/>
    <w:rsid w:val="009D34A7"/>
    <w:rsid w:val="009D5320"/>
    <w:rsid w:val="009D5EC3"/>
    <w:rsid w:val="009E3C54"/>
    <w:rsid w:val="009E5493"/>
    <w:rsid w:val="009E5AA1"/>
    <w:rsid w:val="009E7E79"/>
    <w:rsid w:val="00A027AC"/>
    <w:rsid w:val="00A12209"/>
    <w:rsid w:val="00A21B98"/>
    <w:rsid w:val="00A23396"/>
    <w:rsid w:val="00A30FA4"/>
    <w:rsid w:val="00A35441"/>
    <w:rsid w:val="00A37C40"/>
    <w:rsid w:val="00A37E6F"/>
    <w:rsid w:val="00A42776"/>
    <w:rsid w:val="00A43666"/>
    <w:rsid w:val="00A461A8"/>
    <w:rsid w:val="00A52644"/>
    <w:rsid w:val="00A607CD"/>
    <w:rsid w:val="00A62328"/>
    <w:rsid w:val="00A634EE"/>
    <w:rsid w:val="00A64041"/>
    <w:rsid w:val="00A711D7"/>
    <w:rsid w:val="00A72AE3"/>
    <w:rsid w:val="00A73ABC"/>
    <w:rsid w:val="00A806A2"/>
    <w:rsid w:val="00A842A2"/>
    <w:rsid w:val="00A910FB"/>
    <w:rsid w:val="00A93CC7"/>
    <w:rsid w:val="00A95339"/>
    <w:rsid w:val="00A96840"/>
    <w:rsid w:val="00AB1D09"/>
    <w:rsid w:val="00AB7BD2"/>
    <w:rsid w:val="00AC0842"/>
    <w:rsid w:val="00AC1EAF"/>
    <w:rsid w:val="00AC226A"/>
    <w:rsid w:val="00AC5819"/>
    <w:rsid w:val="00AD3AC2"/>
    <w:rsid w:val="00AD5DE4"/>
    <w:rsid w:val="00AE1327"/>
    <w:rsid w:val="00AE14A1"/>
    <w:rsid w:val="00AE356C"/>
    <w:rsid w:val="00AE4074"/>
    <w:rsid w:val="00AE7AD1"/>
    <w:rsid w:val="00AF23B8"/>
    <w:rsid w:val="00AF7415"/>
    <w:rsid w:val="00B000E0"/>
    <w:rsid w:val="00B13C40"/>
    <w:rsid w:val="00B31E3F"/>
    <w:rsid w:val="00B32BA6"/>
    <w:rsid w:val="00B40DA4"/>
    <w:rsid w:val="00B41D70"/>
    <w:rsid w:val="00B46B09"/>
    <w:rsid w:val="00B50C93"/>
    <w:rsid w:val="00B5216D"/>
    <w:rsid w:val="00B5226F"/>
    <w:rsid w:val="00B52941"/>
    <w:rsid w:val="00B57D6D"/>
    <w:rsid w:val="00B6006A"/>
    <w:rsid w:val="00B61F00"/>
    <w:rsid w:val="00B65EEA"/>
    <w:rsid w:val="00B70CA1"/>
    <w:rsid w:val="00B72F8C"/>
    <w:rsid w:val="00B84DBF"/>
    <w:rsid w:val="00B86804"/>
    <w:rsid w:val="00B908B7"/>
    <w:rsid w:val="00B95FCA"/>
    <w:rsid w:val="00B97A75"/>
    <w:rsid w:val="00BA0477"/>
    <w:rsid w:val="00BA2E80"/>
    <w:rsid w:val="00BB6D16"/>
    <w:rsid w:val="00BC045A"/>
    <w:rsid w:val="00BC4FBE"/>
    <w:rsid w:val="00BC50D9"/>
    <w:rsid w:val="00BC5C26"/>
    <w:rsid w:val="00BC7B03"/>
    <w:rsid w:val="00BE0904"/>
    <w:rsid w:val="00BE4652"/>
    <w:rsid w:val="00BE47E3"/>
    <w:rsid w:val="00BF099E"/>
    <w:rsid w:val="00BF0F07"/>
    <w:rsid w:val="00BF1BD7"/>
    <w:rsid w:val="00BF2A33"/>
    <w:rsid w:val="00BF35E3"/>
    <w:rsid w:val="00C00897"/>
    <w:rsid w:val="00C21016"/>
    <w:rsid w:val="00C34C2A"/>
    <w:rsid w:val="00C3706C"/>
    <w:rsid w:val="00C4211D"/>
    <w:rsid w:val="00C4248E"/>
    <w:rsid w:val="00C453AD"/>
    <w:rsid w:val="00C45A9D"/>
    <w:rsid w:val="00C50907"/>
    <w:rsid w:val="00C52417"/>
    <w:rsid w:val="00C52BC9"/>
    <w:rsid w:val="00C542A7"/>
    <w:rsid w:val="00C54C77"/>
    <w:rsid w:val="00C57547"/>
    <w:rsid w:val="00C61399"/>
    <w:rsid w:val="00C624C1"/>
    <w:rsid w:val="00C70717"/>
    <w:rsid w:val="00C765E9"/>
    <w:rsid w:val="00C7790C"/>
    <w:rsid w:val="00C838BF"/>
    <w:rsid w:val="00C94B0E"/>
    <w:rsid w:val="00CB3F8F"/>
    <w:rsid w:val="00CB4A2B"/>
    <w:rsid w:val="00CC03AB"/>
    <w:rsid w:val="00CC1495"/>
    <w:rsid w:val="00CC402A"/>
    <w:rsid w:val="00CD4FCE"/>
    <w:rsid w:val="00CD6EC1"/>
    <w:rsid w:val="00CE19C3"/>
    <w:rsid w:val="00CE2E9C"/>
    <w:rsid w:val="00CE471E"/>
    <w:rsid w:val="00CF0ED6"/>
    <w:rsid w:val="00CF1729"/>
    <w:rsid w:val="00CF259D"/>
    <w:rsid w:val="00CF4E71"/>
    <w:rsid w:val="00D00DD2"/>
    <w:rsid w:val="00D01901"/>
    <w:rsid w:val="00D07025"/>
    <w:rsid w:val="00D11F11"/>
    <w:rsid w:val="00D20F37"/>
    <w:rsid w:val="00D232C4"/>
    <w:rsid w:val="00D248F1"/>
    <w:rsid w:val="00D27A5C"/>
    <w:rsid w:val="00D4044B"/>
    <w:rsid w:val="00D445C2"/>
    <w:rsid w:val="00D4598D"/>
    <w:rsid w:val="00D46B30"/>
    <w:rsid w:val="00D54400"/>
    <w:rsid w:val="00D555B9"/>
    <w:rsid w:val="00D624AF"/>
    <w:rsid w:val="00D63CA4"/>
    <w:rsid w:val="00D75445"/>
    <w:rsid w:val="00D814B7"/>
    <w:rsid w:val="00D84832"/>
    <w:rsid w:val="00D87B85"/>
    <w:rsid w:val="00DB2C4E"/>
    <w:rsid w:val="00DB3664"/>
    <w:rsid w:val="00DB6567"/>
    <w:rsid w:val="00DC05D9"/>
    <w:rsid w:val="00DC6B6A"/>
    <w:rsid w:val="00DD1524"/>
    <w:rsid w:val="00DD2D83"/>
    <w:rsid w:val="00DE0DCC"/>
    <w:rsid w:val="00DE62ED"/>
    <w:rsid w:val="00DF5649"/>
    <w:rsid w:val="00DF65E6"/>
    <w:rsid w:val="00E00591"/>
    <w:rsid w:val="00E049A2"/>
    <w:rsid w:val="00E12C14"/>
    <w:rsid w:val="00E14329"/>
    <w:rsid w:val="00E16DB4"/>
    <w:rsid w:val="00E172AF"/>
    <w:rsid w:val="00E205D2"/>
    <w:rsid w:val="00E20845"/>
    <w:rsid w:val="00E217C9"/>
    <w:rsid w:val="00E26BD1"/>
    <w:rsid w:val="00E32F4D"/>
    <w:rsid w:val="00E3370B"/>
    <w:rsid w:val="00E41780"/>
    <w:rsid w:val="00E41EF2"/>
    <w:rsid w:val="00E42B98"/>
    <w:rsid w:val="00E51C67"/>
    <w:rsid w:val="00E61367"/>
    <w:rsid w:val="00E72950"/>
    <w:rsid w:val="00E74430"/>
    <w:rsid w:val="00E77E86"/>
    <w:rsid w:val="00E83909"/>
    <w:rsid w:val="00E84CA1"/>
    <w:rsid w:val="00E87FF0"/>
    <w:rsid w:val="00E95ED4"/>
    <w:rsid w:val="00EA7147"/>
    <w:rsid w:val="00EB23DF"/>
    <w:rsid w:val="00EB27CE"/>
    <w:rsid w:val="00EB2BAE"/>
    <w:rsid w:val="00EB4533"/>
    <w:rsid w:val="00EB5003"/>
    <w:rsid w:val="00EB5F8A"/>
    <w:rsid w:val="00EC732F"/>
    <w:rsid w:val="00EE0083"/>
    <w:rsid w:val="00EE1718"/>
    <w:rsid w:val="00EE36AA"/>
    <w:rsid w:val="00EF2CEE"/>
    <w:rsid w:val="00EF4EC6"/>
    <w:rsid w:val="00F000A9"/>
    <w:rsid w:val="00F02429"/>
    <w:rsid w:val="00F02EA6"/>
    <w:rsid w:val="00F10456"/>
    <w:rsid w:val="00F11F9F"/>
    <w:rsid w:val="00F24841"/>
    <w:rsid w:val="00F24913"/>
    <w:rsid w:val="00F2782F"/>
    <w:rsid w:val="00F34D48"/>
    <w:rsid w:val="00F35FDD"/>
    <w:rsid w:val="00F3628F"/>
    <w:rsid w:val="00F40CD1"/>
    <w:rsid w:val="00F4352C"/>
    <w:rsid w:val="00F537C9"/>
    <w:rsid w:val="00F53E4D"/>
    <w:rsid w:val="00F60641"/>
    <w:rsid w:val="00F65EFC"/>
    <w:rsid w:val="00F67218"/>
    <w:rsid w:val="00F7127B"/>
    <w:rsid w:val="00F73978"/>
    <w:rsid w:val="00F86721"/>
    <w:rsid w:val="00F87CB9"/>
    <w:rsid w:val="00FA04E5"/>
    <w:rsid w:val="00FA433A"/>
    <w:rsid w:val="00FB07CC"/>
    <w:rsid w:val="00FB461F"/>
    <w:rsid w:val="00FB4D0A"/>
    <w:rsid w:val="00FB643B"/>
    <w:rsid w:val="00FB6CE4"/>
    <w:rsid w:val="00FB7DE3"/>
    <w:rsid w:val="00FC0290"/>
    <w:rsid w:val="00FC6020"/>
    <w:rsid w:val="00FC7A35"/>
    <w:rsid w:val="00FD14DA"/>
    <w:rsid w:val="00FD15CF"/>
    <w:rsid w:val="00FD1BF6"/>
    <w:rsid w:val="00FD5A72"/>
    <w:rsid w:val="00FD7C70"/>
    <w:rsid w:val="00FE139B"/>
    <w:rsid w:val="00FE2674"/>
    <w:rsid w:val="00FE5E9F"/>
    <w:rsid w:val="00FE6D2D"/>
    <w:rsid w:val="00FE7B7F"/>
    <w:rsid w:val="00FF04C7"/>
    <w:rsid w:val="00FF1419"/>
    <w:rsid w:val="00FF29D3"/>
    <w:rsid w:val="00FF5BDE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83"/>
  </w:style>
  <w:style w:type="paragraph" w:styleId="Heading4">
    <w:name w:val="heading 4"/>
    <w:basedOn w:val="Normal"/>
    <w:link w:val="Heading4Char"/>
    <w:uiPriority w:val="9"/>
    <w:qFormat/>
    <w:rsid w:val="00E12C14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2C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E12C14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2C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C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E12C14"/>
    <w:rPr>
      <w:i/>
      <w:iCs/>
    </w:rPr>
  </w:style>
  <w:style w:type="paragraph" w:customStyle="1" w:styleId="beznytext">
    <w:name w:val="beznytext"/>
    <w:basedOn w:val="Normal"/>
    <w:rsid w:val="00E12C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rbitr.cz/cs/reseni-sporu/pusobnost-financniho-arbitr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i.cz/userdata/files/dokumenty-ke-stazeni/pravidla-pro-postup-a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r.coi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r@coi.cz" TargetMode="External"/><Relationship Id="rId10" Type="http://schemas.openxmlformats.org/officeDocument/2006/relationships/hyperlink" Target="http://www.eru.cz/cs/" TargetMode="External"/><Relationship Id="rId4" Type="http://schemas.openxmlformats.org/officeDocument/2006/relationships/hyperlink" Target="https://adr.coi.cz/" TargetMode="External"/><Relationship Id="rId9" Type="http://schemas.openxmlformats.org/officeDocument/2006/relationships/hyperlink" Target="http://www.ctu.cz/pusobnost-ctu/ochrana-spotrebite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5520</Characters>
  <Application>Microsoft Office Word</Application>
  <DocSecurity>0</DocSecurity>
  <Lines>46</Lines>
  <Paragraphs>12</Paragraphs>
  <ScaleCrop>false</ScaleCrop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Koláčková</dc:creator>
  <cp:lastModifiedBy>Barbora Koláčková</cp:lastModifiedBy>
  <cp:revision>1</cp:revision>
  <dcterms:created xsi:type="dcterms:W3CDTF">2016-03-10T08:53:00Z</dcterms:created>
  <dcterms:modified xsi:type="dcterms:W3CDTF">2016-03-10T08:54:00Z</dcterms:modified>
</cp:coreProperties>
</file>